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right="118"/>
        <w:jc w:val="right"/>
      </w:pPr>
      <w:r>
        <w:rPr/>
        <w:t>ADOPTED – SEPTEMBER 22,</w:t>
      </w:r>
      <w:r>
        <w:rPr>
          <w:spacing w:val="-9"/>
        </w:rPr>
        <w:t> </w:t>
      </w:r>
      <w:r>
        <w:rPr/>
        <w:t>2026</w:t>
      </w:r>
    </w:p>
    <w:p>
      <w:pPr>
        <w:spacing w:before="0"/>
        <w:ind w:left="0" w:right="115" w:firstLine="0"/>
        <w:jc w:val="right"/>
        <w:rPr>
          <w:b/>
          <w:sz w:val="24"/>
        </w:rPr>
      </w:pPr>
      <w:r>
        <w:rPr>
          <w:b/>
          <w:sz w:val="24"/>
        </w:rPr>
        <w:t>AGENDA ITEM NO.</w:t>
      </w:r>
      <w:r>
        <w:rPr>
          <w:b/>
          <w:spacing w:val="-4"/>
          <w:sz w:val="24"/>
        </w:rPr>
        <w:t> </w:t>
      </w:r>
      <w:r>
        <w:rPr>
          <w:b/>
          <w:sz w:val="24"/>
        </w:rPr>
        <w:t>11</w:t>
      </w:r>
    </w:p>
    <w:p>
      <w:pPr>
        <w:pStyle w:val="BodyText"/>
        <w:spacing w:before="2"/>
        <w:rPr>
          <w:b/>
          <w:sz w:val="16"/>
        </w:rPr>
      </w:pPr>
    </w:p>
    <w:p>
      <w:pPr>
        <w:pStyle w:val="BodyText"/>
        <w:spacing w:before="90"/>
        <w:ind w:left="120"/>
      </w:pPr>
      <w:r>
        <w:rPr/>
        <w:t>Introduced by the County Services and Finance Committees of the:</w:t>
      </w:r>
    </w:p>
    <w:p>
      <w:pPr>
        <w:pStyle w:val="BodyText"/>
      </w:pPr>
    </w:p>
    <w:p>
      <w:pPr>
        <w:pStyle w:val="BodyText"/>
        <w:ind w:left="220" w:right="221"/>
        <w:jc w:val="center"/>
      </w:pPr>
      <w:r>
        <w:rPr/>
        <w:t>INGHAM COUNTY BOARD OF COMMISSIONERS</w:t>
      </w:r>
    </w:p>
    <w:p>
      <w:pPr>
        <w:pStyle w:val="BodyText"/>
      </w:pPr>
    </w:p>
    <w:p>
      <w:pPr>
        <w:pStyle w:val="Heading1"/>
        <w:ind w:left="220" w:right="222"/>
      </w:pPr>
      <w:r>
        <w:rPr/>
        <w:t>RESOLUTION TO AUTHORIZE TREASURER TO CONTRACT WITH INGHAM COUNTY LAND BANK FOR $300,000 TO CONTINUE EMERGING DEVELOPER AND APPRENTICESHIP/WORKFORCE DEVELOPMENT TRAINING</w:t>
      </w:r>
    </w:p>
    <w:p>
      <w:pPr>
        <w:pStyle w:val="BodyText"/>
        <w:rPr>
          <w:b/>
        </w:rPr>
      </w:pPr>
    </w:p>
    <w:p>
      <w:pPr>
        <w:spacing w:before="0"/>
        <w:ind w:left="220" w:right="220" w:firstLine="0"/>
        <w:jc w:val="center"/>
        <w:rPr>
          <w:b/>
          <w:sz w:val="24"/>
        </w:rPr>
      </w:pPr>
      <w:r>
        <w:rPr>
          <w:b/>
          <w:sz w:val="24"/>
        </w:rPr>
        <w:t>RESOLUTION #26 – 428</w:t>
      </w:r>
    </w:p>
    <w:p>
      <w:pPr>
        <w:pStyle w:val="BodyText"/>
        <w:rPr>
          <w:b/>
          <w:sz w:val="26"/>
        </w:rPr>
      </w:pPr>
    </w:p>
    <w:p>
      <w:pPr>
        <w:pStyle w:val="BodyText"/>
        <w:rPr>
          <w:b/>
          <w:sz w:val="22"/>
        </w:rPr>
      </w:pPr>
    </w:p>
    <w:p>
      <w:pPr>
        <w:pStyle w:val="BodyText"/>
        <w:ind w:left="120" w:right="136"/>
      </w:pPr>
      <w:r>
        <w:rPr/>
        <w:t>WHEREAS, Ingham County through Resolution #24-205 received a $225,000 grant from the Michigan State Housing Development Authority (MSHDA) to create and expand resources and technical support for local emerging housing developers and for apprenticeship and workforce development training opportunities connected to Ingham County Land Bank (ICLB) and Housing Trust Fund (HTF) projects; and</w:t>
      </w:r>
    </w:p>
    <w:p>
      <w:pPr>
        <w:pStyle w:val="BodyText"/>
      </w:pPr>
    </w:p>
    <w:p>
      <w:pPr>
        <w:pStyle w:val="BodyText"/>
        <w:ind w:left="120"/>
      </w:pPr>
      <w:r>
        <w:rPr/>
        <w:t>WHEREAS, the MSHDA grant was extended for a second year through Resolution #25-321; and</w:t>
      </w:r>
    </w:p>
    <w:p>
      <w:pPr>
        <w:pStyle w:val="BodyText"/>
      </w:pPr>
    </w:p>
    <w:p>
      <w:pPr>
        <w:pStyle w:val="BodyText"/>
        <w:ind w:left="120"/>
      </w:pPr>
      <w:r>
        <w:rPr/>
        <w:t>WHEREAS, the programs funded through this grant have engaged a large number of emerging developers and potential workers in construction of housing in Ingham County; and</w:t>
      </w:r>
    </w:p>
    <w:p>
      <w:pPr>
        <w:pStyle w:val="BodyText"/>
      </w:pPr>
    </w:p>
    <w:p>
      <w:pPr>
        <w:pStyle w:val="BodyText"/>
        <w:ind w:left="120" w:right="704"/>
        <w:jc w:val="both"/>
      </w:pPr>
      <w:r>
        <w:rPr/>
        <w:t>WHEREAS, it is in the best interests of Ingham County’s housing development programs to continue and expand these opportunities while developing a long-range plan for funding the activities from</w:t>
      </w:r>
      <w:r>
        <w:rPr>
          <w:spacing w:val="-25"/>
        </w:rPr>
        <w:t> </w:t>
      </w:r>
      <w:r>
        <w:rPr/>
        <w:t>non-Ingham County sources;</w:t>
      </w:r>
      <w:r>
        <w:rPr>
          <w:spacing w:val="-5"/>
        </w:rPr>
        <w:t> </w:t>
      </w:r>
      <w:r>
        <w:rPr/>
        <w:t>and</w:t>
      </w:r>
    </w:p>
    <w:p>
      <w:pPr>
        <w:pStyle w:val="BodyText"/>
      </w:pPr>
    </w:p>
    <w:p>
      <w:pPr>
        <w:pStyle w:val="BodyText"/>
        <w:ind w:left="120" w:right="136"/>
      </w:pPr>
      <w:r>
        <w:rPr/>
        <w:t>WHEREAS, projects funded through these grants have largely involved the maintenance, repair, or</w:t>
      </w:r>
      <w:r>
        <w:rPr>
          <w:spacing w:val="-25"/>
        </w:rPr>
        <w:t> </w:t>
      </w:r>
      <w:r>
        <w:rPr/>
        <w:t>remediation of tax foreclosed property under the responsibilities of the Treasurer as the Foreclosing Governmental Unit for Ingham County;</w:t>
      </w:r>
      <w:r>
        <w:rPr>
          <w:spacing w:val="-1"/>
        </w:rPr>
        <w:t> </w:t>
      </w:r>
      <w:r>
        <w:rPr/>
        <w:t>and</w:t>
      </w:r>
    </w:p>
    <w:p>
      <w:pPr>
        <w:pStyle w:val="BodyText"/>
      </w:pPr>
    </w:p>
    <w:p>
      <w:pPr>
        <w:pStyle w:val="BodyText"/>
        <w:spacing w:before="1"/>
        <w:ind w:left="120" w:right="476"/>
      </w:pPr>
      <w:r>
        <w:rPr/>
        <w:t>WHEREAS, the County Attorney represents both the County and ICLB, and reasonably believes that its representation in this matter will not adversely affect the parties, nor does it appear that any confidential information received would be material to the transaction or disclosed by the County Attorney; however it is possible that a disagreement may develop regarding a legal opinion between the parties in the future; and</w:t>
      </w:r>
    </w:p>
    <w:p>
      <w:pPr>
        <w:pStyle w:val="BodyText"/>
        <w:spacing w:before="11"/>
        <w:rPr>
          <w:sz w:val="23"/>
        </w:rPr>
      </w:pPr>
    </w:p>
    <w:p>
      <w:pPr>
        <w:pStyle w:val="BodyText"/>
        <w:ind w:left="120" w:right="668"/>
        <w:jc w:val="both"/>
      </w:pPr>
      <w:r>
        <w:rPr/>
        <w:t>WHEREAS, the County Attorney, pursuant to Rule of Professional Conduct 1.7, requests a signed conflict waiver for the County Attorney to prepare, review, and approve the agreement with ICLB.</w:t>
      </w:r>
    </w:p>
    <w:p>
      <w:pPr>
        <w:pStyle w:val="BodyText"/>
      </w:pPr>
    </w:p>
    <w:p>
      <w:pPr>
        <w:pStyle w:val="BodyText"/>
        <w:ind w:left="119" w:right="176"/>
      </w:pPr>
      <w:r>
        <w:rPr/>
        <w:t>THEREFORE BE IT RESOLVED, that the Ingham County Board of Commissioners authorizes the Treasurer in his capacity as Foreclosing Governmental Unit for Ingham County to contract with the ICLB to continue and expand its emerging developer and workforce development programs, including support for a formal emerging developer training program.</w:t>
      </w:r>
    </w:p>
    <w:p>
      <w:pPr>
        <w:pStyle w:val="BodyText"/>
      </w:pPr>
    </w:p>
    <w:p>
      <w:pPr>
        <w:pStyle w:val="BodyText"/>
        <w:ind w:left="119" w:right="136"/>
      </w:pPr>
      <w:r>
        <w:rPr/>
        <w:t>BE IT FURTHER RESOLVED, that said contract, for a period ending December 31, 2027 and in amount not to exceed $300,000 shall be paid with money in the Delinquent Property Sales Proceeds Fund (Fund 517) administered by the Treasurer as provided by statute.</w:t>
      </w:r>
    </w:p>
    <w:p>
      <w:pPr>
        <w:spacing w:after="0"/>
        <w:sectPr>
          <w:type w:val="continuous"/>
          <w:pgSz w:w="12240" w:h="15840"/>
          <w:pgMar w:top="1360" w:bottom="280" w:left="600" w:right="600"/>
        </w:sectPr>
      </w:pPr>
    </w:p>
    <w:p>
      <w:pPr>
        <w:pStyle w:val="BodyText"/>
        <w:spacing w:before="79"/>
        <w:ind w:left="120" w:right="294"/>
      </w:pPr>
      <w:r>
        <w:rPr/>
        <w:t>BE IT FURTHER RESOLVED, that the Ingham County Board of Commissioners, having been advised of the risks of the Attorney representing both the County and ICLB, hereby approves a waiver of legal conflict to allow the County Attorney to prepare, review, and approve as to legal form the agreement between ICLB and the County, and further authorizes the Board Chairperson to sign the waiver and consent.</w:t>
      </w:r>
    </w:p>
    <w:p>
      <w:pPr>
        <w:pStyle w:val="BodyText"/>
      </w:pPr>
    </w:p>
    <w:p>
      <w:pPr>
        <w:pStyle w:val="BodyText"/>
        <w:ind w:left="120" w:right="116"/>
      </w:pPr>
      <w:r>
        <w:rPr/>
        <w:t>BE IT FURTHER RESOLVED, that the Treasurer may determine such funds are not required to pay pending or potential claims from parties with proper former interests in proceeds from the auction sales of tax foreclosed property.</w:t>
      </w:r>
    </w:p>
    <w:p>
      <w:pPr>
        <w:pStyle w:val="BodyText"/>
      </w:pPr>
    </w:p>
    <w:p>
      <w:pPr>
        <w:pStyle w:val="BodyText"/>
        <w:ind w:left="120"/>
      </w:pPr>
      <w:r>
        <w:rPr/>
        <w:t>BE IT FURTHER RESOLVED, that the Controller/Administrator is authorized to make the necessary budget adjustments consistent with this resolution.</w:t>
      </w:r>
    </w:p>
    <w:p>
      <w:pPr>
        <w:pStyle w:val="BodyText"/>
      </w:pPr>
    </w:p>
    <w:p>
      <w:pPr>
        <w:pStyle w:val="BodyText"/>
        <w:ind w:left="120" w:right="136"/>
      </w:pPr>
      <w:r>
        <w:rPr/>
        <w:t>BE IT FURTHER RESOLVED, that the Treasurer is hereby authorized to sign all applications, attachments, grant agreements, amendments, and any necessary documents consistent with this resolution, on behalf of the County, after approval as to form by the County Attorney.</w:t>
      </w:r>
    </w:p>
    <w:p>
      <w:pPr>
        <w:pStyle w:val="BodyText"/>
        <w:spacing w:before="6"/>
        <w:rPr>
          <w:sz w:val="27"/>
        </w:rPr>
      </w:pPr>
    </w:p>
    <w:p>
      <w:pPr>
        <w:spacing w:before="1"/>
        <w:ind w:left="120" w:right="0" w:firstLine="0"/>
        <w:jc w:val="left"/>
        <w:rPr>
          <w:sz w:val="24"/>
        </w:rPr>
      </w:pPr>
      <w:r>
        <w:rPr>
          <w:b/>
          <w:sz w:val="24"/>
        </w:rPr>
        <w:t>COUNTY SERVICES: Yeas: </w:t>
      </w:r>
      <w:r>
        <w:rPr>
          <w:sz w:val="24"/>
        </w:rPr>
        <w:t>Pratt, Lawrence, Grebner, Sebolt, Peña, Johnson, Maiville, Ruest</w:t>
      </w:r>
    </w:p>
    <w:p>
      <w:pPr>
        <w:tabs>
          <w:tab w:pos="2231" w:val="left" w:leader="none"/>
          <w:tab w:pos="3909"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3"/>
          <w:sz w:val="24"/>
        </w:rPr>
        <w:t> </w:t>
      </w:r>
      <w:r>
        <w:rPr>
          <w:sz w:val="24"/>
        </w:rPr>
        <w:t>None</w:t>
        <w:tab/>
      </w:r>
      <w:r>
        <w:rPr>
          <w:b/>
          <w:sz w:val="24"/>
        </w:rPr>
        <w:t>Approved</w:t>
      </w:r>
      <w:r>
        <w:rPr>
          <w:b/>
          <w:spacing w:val="3"/>
          <w:sz w:val="24"/>
        </w:rPr>
        <w:t> </w:t>
      </w:r>
      <w:r>
        <w:rPr>
          <w:b/>
          <w:sz w:val="24"/>
        </w:rPr>
        <w:t>09/15/26</w:t>
      </w:r>
    </w:p>
    <w:p>
      <w:pPr>
        <w:pStyle w:val="BodyText"/>
        <w:spacing w:before="6"/>
        <w:rPr>
          <w:b/>
          <w:sz w:val="27"/>
        </w:rPr>
      </w:pPr>
    </w:p>
    <w:p>
      <w:pPr>
        <w:spacing w:before="0"/>
        <w:ind w:left="120" w:right="0" w:firstLine="0"/>
        <w:jc w:val="left"/>
        <w:rPr>
          <w:sz w:val="24"/>
        </w:rPr>
      </w:pPr>
      <w:r>
        <w:rPr>
          <w:b/>
          <w:sz w:val="24"/>
        </w:rPr>
        <w:t>FINANCE: Yeas: </w:t>
      </w:r>
      <w:r>
        <w:rPr>
          <w:sz w:val="24"/>
        </w:rPr>
        <w:t>Grebner, Morgan, Tennis, Sebolt, Maiville</w:t>
      </w:r>
    </w:p>
    <w:p>
      <w:pPr>
        <w:tabs>
          <w:tab w:pos="2183" w:val="left" w:leader="none"/>
          <w:tab w:pos="4900" w:val="left" w:leader="none"/>
        </w:tabs>
        <w:spacing w:before="43"/>
        <w:ind w:left="720" w:right="0" w:firstLine="0"/>
        <w:jc w:val="left"/>
        <w:rPr>
          <w:b/>
          <w:sz w:val="24"/>
        </w:rPr>
      </w:pPr>
      <w:r>
        <w:rPr>
          <w:b/>
          <w:sz w:val="24"/>
        </w:rPr>
        <w:t>Nays:</w:t>
      </w:r>
      <w:r>
        <w:rPr>
          <w:b/>
          <w:spacing w:val="58"/>
          <w:sz w:val="24"/>
        </w:rPr>
        <w:t> </w:t>
      </w:r>
      <w:r>
        <w:rPr>
          <w:sz w:val="24"/>
        </w:rPr>
        <w:t>None</w:t>
        <w:tab/>
      </w:r>
      <w:r>
        <w:rPr>
          <w:b/>
          <w:sz w:val="24"/>
        </w:rPr>
        <w:t>Absent:</w:t>
      </w:r>
      <w:r>
        <w:rPr>
          <w:b/>
          <w:spacing w:val="57"/>
          <w:sz w:val="24"/>
        </w:rPr>
        <w:t> </w:t>
      </w:r>
      <w:r>
        <w:rPr>
          <w:sz w:val="24"/>
        </w:rPr>
        <w:t>Polsdofer,</w:t>
      </w:r>
      <w:r>
        <w:rPr>
          <w:spacing w:val="-1"/>
          <w:sz w:val="24"/>
        </w:rPr>
        <w:t> </w:t>
      </w:r>
      <w:r>
        <w:rPr>
          <w:sz w:val="24"/>
        </w:rPr>
        <w:t>Pratt</w:t>
        <w:tab/>
      </w:r>
      <w:r>
        <w:rPr>
          <w:b/>
          <w:sz w:val="24"/>
        </w:rPr>
        <w:t>Approved  09/16/26</w:t>
      </w:r>
    </w:p>
    <w:sectPr>
      <w:pgSz w:w="12240" w:h="15840"/>
      <w:pgMar w:top="1360" w:bottom="280" w:left="600" w:right="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right="115"/>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2026-09-23T14:50:07Z</dcterms:created>
  <dcterms:modified xsi:type="dcterms:W3CDTF">2026-09-23T14:50:07Z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2026-09-23T00:00:00Z</vt:filetime>
  </property>
  <property fmtid="{D5CDD505-2E9C-101B-9397-08002B2CF9AE}" pid="3" name="Creator">
    <vt:lpwstr>Acrobat PDFMaker 20 for Word</vt:lpwstr>
  </property>
  <property fmtid="{D5CDD505-2E9C-101B-9397-08002B2CF9AE}" pid="4" name="LastSaved">
    <vt:filetime>2026-09-23T00:00:00Z</vt:filetime>
  </property>
</Properties>
</file>